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09" w:rsidRDefault="00EC4099">
      <w:pPr>
        <w:ind w:firstLineChars="200" w:firstLine="880"/>
        <w:jc w:val="center"/>
        <w:rPr>
          <w:rFonts w:ascii="方正小标宋简体" w:eastAsia="方正小标宋简体" w:hAnsi="方正小标宋简体" w:cs="方正小标宋简体"/>
          <w:sz w:val="44"/>
          <w:szCs w:val="44"/>
        </w:rPr>
      </w:pPr>
      <w:bookmarkStart w:id="0" w:name="OLE_LINK2"/>
      <w:r>
        <w:rPr>
          <w:rFonts w:ascii="方正小标宋简体" w:eastAsia="方正小标宋简体" w:hAnsi="方正小标宋简体" w:cs="方正小标宋简体" w:hint="eastAsia"/>
          <w:sz w:val="44"/>
          <w:szCs w:val="44"/>
        </w:rPr>
        <w:t>关于为舜易拍平台数据资产入表服务项目的询竞价公告</w:t>
      </w:r>
    </w:p>
    <w:p w:rsidR="00E52409" w:rsidRDefault="00EC4099">
      <w:pPr>
        <w:pStyle w:val="a4"/>
        <w:spacing w:line="360" w:lineRule="auto"/>
        <w:ind w:firstLineChars="200" w:firstLine="560"/>
        <w:rPr>
          <w:rFonts w:ascii="仿宋" w:eastAsia="仿宋" w:hAnsi="仿宋"/>
          <w:sz w:val="28"/>
          <w:szCs w:val="28"/>
        </w:rPr>
      </w:pPr>
      <w:r>
        <w:rPr>
          <w:rFonts w:ascii="仿宋" w:eastAsia="仿宋" w:hAnsi="仿宋" w:hint="eastAsia"/>
          <w:sz w:val="28"/>
          <w:szCs w:val="28"/>
        </w:rPr>
        <w:t>山钢金控资产管理（深圳）有限公司</w:t>
      </w:r>
      <w:bookmarkEnd w:id="0"/>
      <w:r>
        <w:rPr>
          <w:rFonts w:ascii="仿宋" w:eastAsia="仿宋" w:hAnsi="仿宋" w:hint="eastAsia"/>
          <w:sz w:val="28"/>
          <w:szCs w:val="28"/>
        </w:rPr>
        <w:t>（以下简称“金控资管”</w:t>
      </w:r>
      <w:r>
        <w:rPr>
          <w:rFonts w:ascii="仿宋" w:eastAsia="仿宋" w:hAnsi="仿宋" w:hint="eastAsia"/>
          <w:sz w:val="28"/>
          <w:szCs w:val="28"/>
        </w:rPr>
        <w:t>或“我公司”</w:t>
      </w:r>
      <w:r>
        <w:rPr>
          <w:rFonts w:ascii="仿宋" w:eastAsia="仿宋" w:hAnsi="仿宋" w:hint="eastAsia"/>
          <w:sz w:val="28"/>
          <w:szCs w:val="28"/>
        </w:rPr>
        <w:t>）于</w:t>
      </w:r>
      <w:r>
        <w:rPr>
          <w:rFonts w:ascii="仿宋" w:eastAsia="仿宋" w:hAnsi="仿宋" w:hint="eastAsia"/>
          <w:sz w:val="28"/>
          <w:szCs w:val="28"/>
        </w:rPr>
        <w:t>2023</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月上线舜易拍数智化资产交易平台（以下简称“舜易拍平台”）</w:t>
      </w:r>
      <w:r>
        <w:rPr>
          <w:rFonts w:ascii="仿宋" w:eastAsia="仿宋" w:hAnsi="仿宋" w:hint="eastAsia"/>
          <w:sz w:val="28"/>
          <w:szCs w:val="28"/>
        </w:rPr>
        <w:t>，</w:t>
      </w:r>
      <w:r>
        <w:rPr>
          <w:rFonts w:ascii="仿宋" w:eastAsia="仿宋" w:hAnsi="仿宋" w:hint="eastAsia"/>
          <w:sz w:val="28"/>
          <w:szCs w:val="28"/>
        </w:rPr>
        <w:t>舜易拍平台旨在</w:t>
      </w:r>
      <w:r>
        <w:rPr>
          <w:rFonts w:ascii="仿宋" w:eastAsia="仿宋" w:hAnsi="仿宋" w:hint="eastAsia"/>
          <w:sz w:val="28"/>
          <w:szCs w:val="28"/>
        </w:rPr>
        <w:t>提供资产公开处置、资产撮合交易以及资产运营管理等一系列专业化资产交易服务</w:t>
      </w:r>
      <w:r>
        <w:rPr>
          <w:rFonts w:ascii="仿宋" w:eastAsia="仿宋" w:hAnsi="仿宋" w:hint="eastAsia"/>
          <w:sz w:val="28"/>
          <w:szCs w:val="28"/>
        </w:rPr>
        <w:t>。</w:t>
      </w:r>
      <w:r>
        <w:rPr>
          <w:rFonts w:ascii="仿宋" w:eastAsia="仿宋" w:hAnsi="仿宋" w:hint="eastAsia"/>
          <w:sz w:val="28"/>
          <w:szCs w:val="28"/>
        </w:rPr>
        <w:t>我公司拥有广东省通信管理局颁发的增值电信业务经营许可证，并取得了中国（广东）自由贸易试验区深圳前海蛇口片区企业（含分支机构）从事拍卖业务备案回执，目前舜易拍平台累计成交额超</w:t>
      </w:r>
      <w:r>
        <w:rPr>
          <w:rFonts w:ascii="仿宋" w:eastAsia="仿宋" w:hAnsi="仿宋" w:hint="eastAsia"/>
          <w:sz w:val="28"/>
          <w:szCs w:val="28"/>
        </w:rPr>
        <w:t>30</w:t>
      </w:r>
      <w:r>
        <w:rPr>
          <w:rFonts w:ascii="仿宋" w:eastAsia="仿宋" w:hAnsi="仿宋" w:hint="eastAsia"/>
          <w:sz w:val="28"/>
          <w:szCs w:val="28"/>
        </w:rPr>
        <w:t>亿元。</w:t>
      </w:r>
      <w:bookmarkStart w:id="1" w:name="OLE_LINK1"/>
      <w:r>
        <w:rPr>
          <w:rFonts w:ascii="仿宋" w:eastAsia="仿宋" w:hAnsi="仿宋" w:hint="eastAsia"/>
          <w:sz w:val="28"/>
          <w:szCs w:val="28"/>
        </w:rPr>
        <w:t>为进一步全面反映公司资产价值，提升平台数智化发展能力，舜易拍平台拟选取交易数据进行数据资产入表。现拟选聘一家服务机构开展舜易拍平台数据资产入表工作。</w:t>
      </w:r>
    </w:p>
    <w:p w:rsidR="00E52409" w:rsidRDefault="00EC4099">
      <w:pPr>
        <w:numPr>
          <w:ilvl w:val="0"/>
          <w:numId w:val="1"/>
        </w:numPr>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服务内容</w:t>
      </w:r>
    </w:p>
    <w:p w:rsidR="00E52409" w:rsidRDefault="00EC4099">
      <w:pPr>
        <w:pStyle w:val="a4"/>
        <w:spacing w:line="360" w:lineRule="auto"/>
        <w:ind w:firstLineChars="200" w:firstLine="560"/>
        <w:rPr>
          <w:rFonts w:ascii="仿宋" w:eastAsia="仿宋" w:hAnsi="仿宋"/>
          <w:sz w:val="28"/>
          <w:szCs w:val="28"/>
        </w:rPr>
      </w:pPr>
      <w:r>
        <w:rPr>
          <w:rFonts w:ascii="仿宋" w:eastAsia="仿宋" w:hAnsi="仿宋" w:hint="eastAsia"/>
          <w:sz w:val="28"/>
          <w:szCs w:val="28"/>
        </w:rPr>
        <w:t>针对舜易拍平台盘点数据目录并评估数据质量、完成数据确权与合规评估、进行数据资产登记，最终完成成本投入归集分摊分析实现数据资产入表。</w:t>
      </w:r>
    </w:p>
    <w:p w:rsidR="00E52409" w:rsidRDefault="00EC4099">
      <w:pPr>
        <w:numPr>
          <w:ilvl w:val="255"/>
          <w:numId w:val="0"/>
        </w:numPr>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二、服务说明</w:t>
      </w:r>
    </w:p>
    <w:p w:rsidR="00E52409" w:rsidRDefault="00EC4099">
      <w:pPr>
        <w:spacing w:line="360" w:lineRule="auto"/>
        <w:ind w:firstLine="560"/>
        <w:rPr>
          <w:rFonts w:ascii="仿宋" w:eastAsia="仿宋" w:hAnsi="仿宋"/>
          <w:sz w:val="28"/>
          <w:szCs w:val="28"/>
        </w:rPr>
      </w:pPr>
      <w:r>
        <w:rPr>
          <w:rFonts w:ascii="仿宋" w:eastAsia="仿宋" w:hAnsi="仿宋" w:hint="eastAsia"/>
          <w:sz w:val="28"/>
          <w:szCs w:val="28"/>
        </w:rPr>
        <w:t>本次服务机构可能涉及数据技术公司、律师事务所、会计师事务所，请拟报价的主责服务机构进行全面性综合报价，本公告附《报价单》供服务机构进行参考，拟报价的服务机构可根据具体服务内容的区别进行相应调整。</w:t>
      </w:r>
    </w:p>
    <w:p w:rsidR="00E52409" w:rsidRDefault="00EC4099">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针对上述服</w:t>
      </w:r>
      <w:r>
        <w:rPr>
          <w:rFonts w:ascii="仿宋" w:eastAsia="仿宋" w:hAnsi="仿宋" w:hint="eastAsia"/>
          <w:sz w:val="28"/>
          <w:szCs w:val="28"/>
        </w:rPr>
        <w:t>务事项，金控资管采用公开询竞价的方式进行选聘服务机构，请</w:t>
      </w:r>
      <w:bookmarkEnd w:id="1"/>
      <w:r>
        <w:rPr>
          <w:rFonts w:ascii="仿宋" w:eastAsia="仿宋" w:hAnsi="仿宋" w:hint="eastAsia"/>
          <w:sz w:val="28"/>
          <w:szCs w:val="28"/>
        </w:rPr>
        <w:t>有意向的服务机构</w:t>
      </w:r>
      <w:hyperlink r:id="rId5" w:history="1">
        <w:r>
          <w:rPr>
            <w:rFonts w:ascii="仿宋" w:eastAsia="仿宋" w:hAnsi="仿宋" w:hint="eastAsia"/>
            <w:sz w:val="28"/>
            <w:szCs w:val="28"/>
          </w:rPr>
          <w:t>于</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25</w:t>
        </w:r>
        <w:r>
          <w:rPr>
            <w:rFonts w:ascii="仿宋" w:eastAsia="仿宋" w:hAnsi="仿宋" w:hint="eastAsia"/>
            <w:sz w:val="28"/>
            <w:szCs w:val="28"/>
          </w:rPr>
          <w:t>日</w:t>
        </w:r>
        <w:r>
          <w:rPr>
            <w:rFonts w:ascii="仿宋" w:eastAsia="仿宋" w:hAnsi="仿宋" w:hint="eastAsia"/>
            <w:sz w:val="28"/>
            <w:szCs w:val="28"/>
          </w:rPr>
          <w:t>17:00</w:t>
        </w:r>
        <w:r>
          <w:rPr>
            <w:rFonts w:ascii="仿宋" w:eastAsia="仿宋" w:hAnsi="仿宋" w:hint="eastAsia"/>
            <w:sz w:val="28"/>
            <w:szCs w:val="28"/>
          </w:rPr>
          <w:t>前将《服务报价方案》扫描件发送至邮箱</w:t>
        </w:r>
        <w:r>
          <w:rPr>
            <w:rFonts w:ascii="仿宋" w:eastAsia="仿宋" w:hAnsi="仿宋" w:hint="eastAsia"/>
            <w:sz w:val="28"/>
            <w:szCs w:val="28"/>
          </w:rPr>
          <w:t>s54103@shansteelgroup.com</w:t>
        </w:r>
      </w:hyperlink>
      <w:r>
        <w:rPr>
          <w:rFonts w:ascii="仿宋" w:eastAsia="仿宋" w:hAnsi="仿宋" w:hint="eastAsia"/>
          <w:sz w:val="28"/>
          <w:szCs w:val="28"/>
        </w:rPr>
        <w:t>（或</w:t>
      </w:r>
      <w:r>
        <w:rPr>
          <w:rFonts w:ascii="仿宋" w:eastAsia="仿宋" w:hAnsi="仿宋" w:hint="eastAsia"/>
          <w:sz w:val="28"/>
          <w:szCs w:val="28"/>
        </w:rPr>
        <w:t>s54105@shansteelgroup.com</w:t>
      </w:r>
      <w:r>
        <w:rPr>
          <w:rFonts w:ascii="仿宋" w:eastAsia="仿宋" w:hAnsi="仿宋" w:hint="eastAsia"/>
          <w:sz w:val="28"/>
          <w:szCs w:val="28"/>
        </w:rPr>
        <w:t>），并将原件邮寄至我公司。</w:t>
      </w:r>
      <w:r w:rsidR="00E52409">
        <w:rPr>
          <w:rFonts w:ascii="仿宋" w:eastAsia="仿宋" w:hAnsi="仿宋" w:hint="eastAsia"/>
          <w:sz w:val="28"/>
          <w:szCs w:val="28"/>
        </w:rPr>
        <w:fldChar w:fldCharType="begin"/>
      </w:r>
      <w:r>
        <w:rPr>
          <w:rFonts w:ascii="仿宋" w:eastAsia="仿宋" w:hAnsi="仿宋" w:hint="eastAsia"/>
          <w:sz w:val="28"/>
          <w:szCs w:val="28"/>
        </w:rPr>
        <w:instrText xml:space="preserve"> HYPERLINK "mailto:</w:instrText>
      </w:r>
      <w:r>
        <w:rPr>
          <w:rFonts w:ascii="仿宋" w:eastAsia="仿宋" w:hAnsi="仿宋" w:hint="eastAsia"/>
          <w:sz w:val="28"/>
          <w:szCs w:val="28"/>
        </w:rPr>
        <w:instrText>请将报价函加盖公章后回复至发件邮箱</w:instrText>
      </w:r>
      <w:r>
        <w:rPr>
          <w:rFonts w:ascii="仿宋" w:eastAsia="仿宋" w:hAnsi="仿宋" w:hint="eastAsia"/>
          <w:sz w:val="28"/>
          <w:szCs w:val="28"/>
        </w:rPr>
        <w:instrText xml:space="preserve">wukegang@shan-steel.com" </w:instrText>
      </w:r>
      <w:r w:rsidR="00E52409">
        <w:rPr>
          <w:rFonts w:ascii="仿宋" w:eastAsia="仿宋" w:hAnsi="仿宋" w:hint="eastAsia"/>
          <w:sz w:val="28"/>
          <w:szCs w:val="28"/>
        </w:rPr>
        <w:fldChar w:fldCharType="separate"/>
      </w:r>
      <w:r>
        <w:rPr>
          <w:rFonts w:ascii="仿宋" w:eastAsia="仿宋" w:hAnsi="仿宋" w:hint="eastAsia"/>
          <w:sz w:val="28"/>
          <w:szCs w:val="28"/>
        </w:rPr>
        <w:t>《</w:t>
      </w:r>
      <w:r>
        <w:rPr>
          <w:rFonts w:ascii="仿宋" w:eastAsia="仿宋" w:hAnsi="仿宋" w:hint="eastAsia"/>
          <w:sz w:val="28"/>
          <w:szCs w:val="28"/>
        </w:rPr>
        <w:t>服务报价方案》需加盖公章，内容包含但不限于：</w:t>
      </w:r>
    </w:p>
    <w:p w:rsidR="00E52409" w:rsidRDefault="00EC4099">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服务机构简介及相关资质证明</w:t>
      </w:r>
    </w:p>
    <w:p w:rsidR="00E52409" w:rsidRDefault="00EC4099">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服务团队成员简介及相关资质证明</w:t>
      </w:r>
    </w:p>
    <w:p w:rsidR="00E52409" w:rsidRDefault="00EC4099">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相关服务案例</w:t>
      </w:r>
    </w:p>
    <w:p w:rsidR="00E52409" w:rsidRDefault="00EC4099">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服务方案简介（包含但不限于对本项目初步判断意见、工作方式、工作完成时限等）</w:t>
      </w:r>
    </w:p>
    <w:p w:rsidR="00E52409" w:rsidRDefault="00EC4099">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服务报价组成（包含但不限于费用支付方式、支付节点等，报价应包含本次服务过程中的所有费用，如存在我公司在完成数据资产入表过程中自行承担的费用请揭示）</w:t>
      </w:r>
      <w:r w:rsidR="00E52409">
        <w:rPr>
          <w:rFonts w:ascii="仿宋" w:eastAsia="仿宋" w:hAnsi="仿宋" w:hint="eastAsia"/>
          <w:sz w:val="28"/>
          <w:szCs w:val="28"/>
        </w:rPr>
        <w:fldChar w:fldCharType="end"/>
      </w:r>
      <w:r>
        <w:rPr>
          <w:rFonts w:ascii="仿宋" w:eastAsia="仿宋" w:hAnsi="仿宋" w:hint="eastAsia"/>
          <w:sz w:val="28"/>
          <w:szCs w:val="28"/>
        </w:rPr>
        <w:t>。</w:t>
      </w:r>
    </w:p>
    <w:p w:rsidR="00E52409" w:rsidRDefault="00EC4099">
      <w:pPr>
        <w:spacing w:line="360" w:lineRule="auto"/>
        <w:ind w:firstLineChars="200" w:firstLine="560"/>
        <w:rPr>
          <w:rFonts w:ascii="仿宋" w:eastAsia="仿宋" w:hAnsi="仿宋"/>
          <w:sz w:val="28"/>
          <w:szCs w:val="28"/>
        </w:rPr>
      </w:pPr>
      <w:r>
        <w:rPr>
          <w:rFonts w:ascii="仿宋" w:eastAsia="仿宋" w:hAnsi="仿宋" w:hint="eastAsia"/>
          <w:sz w:val="28"/>
          <w:szCs w:val="28"/>
        </w:rPr>
        <w:t>我公司在进行多家机构《服务报价方案》对比后，将选取一家服务机构进行合作并在本平台发布成交通知书进行公告，相关机构需按成交通知书载明的时限与我</w:t>
      </w:r>
      <w:r>
        <w:rPr>
          <w:rFonts w:ascii="仿宋" w:eastAsia="仿宋" w:hAnsi="仿宋" w:hint="eastAsia"/>
          <w:sz w:val="28"/>
          <w:szCs w:val="28"/>
        </w:rPr>
        <w:t>公司签订相关服务合同并开展具体的工作。如需对舜易拍或本次服务事项进一步了解可直接与我公司人员进行联系。</w:t>
      </w:r>
    </w:p>
    <w:p w:rsidR="00E52409" w:rsidRDefault="00EC4099">
      <w:pPr>
        <w:spacing w:line="360" w:lineRule="auto"/>
        <w:ind w:firstLineChars="200" w:firstLine="560"/>
        <w:rPr>
          <w:rFonts w:ascii="仿宋" w:eastAsia="仿宋" w:hAnsi="仿宋"/>
          <w:sz w:val="28"/>
          <w:szCs w:val="28"/>
        </w:rPr>
      </w:pPr>
      <w:r>
        <w:rPr>
          <w:rFonts w:ascii="仿宋" w:eastAsia="仿宋" w:hAnsi="仿宋" w:hint="eastAsia"/>
          <w:sz w:val="28"/>
          <w:szCs w:val="28"/>
        </w:rPr>
        <w:t>顺颂商祺！</w:t>
      </w:r>
    </w:p>
    <w:p w:rsidR="00E52409" w:rsidRDefault="00EC4099">
      <w:pPr>
        <w:spacing w:line="360" w:lineRule="auto"/>
        <w:ind w:firstLineChars="200" w:firstLine="560"/>
        <w:rPr>
          <w:rFonts w:ascii="仿宋" w:eastAsia="仿宋" w:hAnsi="仿宋"/>
          <w:sz w:val="28"/>
          <w:szCs w:val="28"/>
        </w:rPr>
      </w:pPr>
      <w:r>
        <w:rPr>
          <w:rFonts w:ascii="仿宋" w:eastAsia="仿宋" w:hAnsi="仿宋" w:hint="eastAsia"/>
          <w:sz w:val="28"/>
          <w:szCs w:val="28"/>
        </w:rPr>
        <w:t>联系人：郭蕾</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17653165608</w:t>
      </w:r>
    </w:p>
    <w:p w:rsidR="00E52409" w:rsidRDefault="00EC4099">
      <w:pPr>
        <w:spacing w:line="360" w:lineRule="auto"/>
        <w:ind w:firstLineChars="600" w:firstLine="1680"/>
      </w:pPr>
      <w:r>
        <w:rPr>
          <w:rFonts w:ascii="仿宋" w:eastAsia="仿宋" w:hAnsi="仿宋" w:hint="eastAsia"/>
          <w:sz w:val="28"/>
          <w:szCs w:val="28"/>
        </w:rPr>
        <w:t>杜传令</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17653165780</w:t>
      </w:r>
    </w:p>
    <w:p w:rsidR="00E52409" w:rsidRDefault="00EC4099">
      <w:pPr>
        <w:spacing w:line="360" w:lineRule="auto"/>
        <w:ind w:firstLineChars="200" w:firstLine="560"/>
        <w:rPr>
          <w:rFonts w:ascii="仿宋" w:eastAsia="仿宋" w:hAnsi="仿宋"/>
          <w:sz w:val="28"/>
          <w:szCs w:val="28"/>
        </w:rPr>
      </w:pPr>
      <w:r>
        <w:rPr>
          <w:rFonts w:ascii="仿宋" w:eastAsia="仿宋" w:hAnsi="仿宋" w:hint="eastAsia"/>
          <w:sz w:val="28"/>
          <w:szCs w:val="28"/>
        </w:rPr>
        <w:t>邮寄地址：山东省济南市舜华路</w:t>
      </w:r>
      <w:r>
        <w:rPr>
          <w:rFonts w:ascii="仿宋" w:eastAsia="仿宋" w:hAnsi="仿宋" w:hint="eastAsia"/>
          <w:sz w:val="28"/>
          <w:szCs w:val="28"/>
        </w:rPr>
        <w:t>2000</w:t>
      </w:r>
      <w:r>
        <w:rPr>
          <w:rFonts w:ascii="仿宋" w:eastAsia="仿宋" w:hAnsi="仿宋" w:hint="eastAsia"/>
          <w:sz w:val="28"/>
          <w:szCs w:val="28"/>
        </w:rPr>
        <w:t>号舜泰广场</w:t>
      </w:r>
      <w:r>
        <w:rPr>
          <w:rFonts w:ascii="仿宋" w:eastAsia="仿宋" w:hAnsi="仿宋" w:hint="eastAsia"/>
          <w:sz w:val="28"/>
          <w:szCs w:val="28"/>
        </w:rPr>
        <w:t>4</w:t>
      </w:r>
      <w:r>
        <w:rPr>
          <w:rFonts w:ascii="仿宋" w:eastAsia="仿宋" w:hAnsi="仿宋" w:hint="eastAsia"/>
          <w:sz w:val="28"/>
          <w:szCs w:val="28"/>
        </w:rPr>
        <w:t>号楼山东钢</w:t>
      </w:r>
      <w:r>
        <w:rPr>
          <w:rFonts w:ascii="仿宋" w:eastAsia="仿宋" w:hAnsi="仿宋" w:hint="eastAsia"/>
          <w:sz w:val="28"/>
          <w:szCs w:val="28"/>
        </w:rPr>
        <w:lastRenderedPageBreak/>
        <w:t>铁集团大厦。</w:t>
      </w:r>
    </w:p>
    <w:p w:rsidR="00E52409" w:rsidRDefault="00E52409">
      <w:pPr>
        <w:spacing w:line="360" w:lineRule="auto"/>
        <w:rPr>
          <w:rFonts w:ascii="仿宋" w:eastAsia="仿宋" w:hAnsi="仿宋"/>
          <w:sz w:val="28"/>
          <w:szCs w:val="28"/>
        </w:rPr>
      </w:pPr>
    </w:p>
    <w:p w:rsidR="00E52409" w:rsidRDefault="00EC4099">
      <w:pPr>
        <w:spacing w:line="360" w:lineRule="auto"/>
        <w:jc w:val="right"/>
        <w:rPr>
          <w:rFonts w:ascii="仿宋" w:eastAsia="仿宋" w:hAnsi="仿宋"/>
          <w:sz w:val="28"/>
          <w:szCs w:val="28"/>
        </w:rPr>
      </w:pPr>
      <w:r>
        <w:rPr>
          <w:rFonts w:ascii="仿宋" w:eastAsia="仿宋" w:hAnsi="仿宋" w:hint="eastAsia"/>
          <w:sz w:val="28"/>
          <w:szCs w:val="28"/>
        </w:rPr>
        <w:t>山钢金控资产管理（深圳）有限公司</w:t>
      </w:r>
    </w:p>
    <w:p w:rsidR="00E52409" w:rsidRDefault="00EC4099">
      <w:pPr>
        <w:spacing w:line="360" w:lineRule="auto"/>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bookmarkStart w:id="2" w:name="_GoBack"/>
      <w:bookmarkEnd w:id="2"/>
      <w:r>
        <w:rPr>
          <w:rFonts w:ascii="仿宋" w:eastAsia="仿宋" w:hAnsi="仿宋" w:hint="eastAsia"/>
          <w:sz w:val="28"/>
          <w:szCs w:val="28"/>
        </w:rPr>
        <w:t>1</w:t>
      </w:r>
      <w:r>
        <w:rPr>
          <w:rFonts w:ascii="仿宋" w:eastAsia="仿宋" w:hAnsi="仿宋" w:hint="eastAsia"/>
          <w:sz w:val="28"/>
          <w:szCs w:val="28"/>
        </w:rPr>
        <w:t>5</w:t>
      </w:r>
      <w:r>
        <w:rPr>
          <w:rFonts w:ascii="仿宋" w:eastAsia="仿宋" w:hAnsi="仿宋" w:hint="eastAsia"/>
          <w:sz w:val="28"/>
          <w:szCs w:val="28"/>
        </w:rPr>
        <w:t>日</w:t>
      </w:r>
    </w:p>
    <w:p w:rsidR="00E52409" w:rsidRDefault="00EC4099">
      <w:pPr>
        <w:pStyle w:val="a0"/>
        <w:ind w:firstLine="0"/>
        <w:rPr>
          <w:rFonts w:ascii="仿宋" w:eastAsia="仿宋" w:hAnsi="仿宋"/>
          <w:sz w:val="28"/>
          <w:szCs w:val="28"/>
        </w:rPr>
      </w:pPr>
      <w:r>
        <w:rPr>
          <w:rFonts w:ascii="仿宋" w:eastAsia="仿宋" w:hAnsi="仿宋" w:hint="eastAsia"/>
          <w:sz w:val="28"/>
          <w:szCs w:val="28"/>
        </w:rPr>
        <w:t>附：《山钢金控资产管理（深圳）有限公司数据资产入表综合服务报价单》</w:t>
      </w:r>
    </w:p>
    <w:p w:rsidR="00E52409" w:rsidRDefault="00E52409">
      <w:pPr>
        <w:pStyle w:val="a0"/>
        <w:ind w:firstLine="0"/>
      </w:pPr>
    </w:p>
    <w:p w:rsidR="00E52409" w:rsidRDefault="00EC4099">
      <w:pPr>
        <w:jc w:val="center"/>
        <w:rPr>
          <w:b/>
          <w:bCs/>
          <w:sz w:val="44"/>
          <w:szCs w:val="44"/>
        </w:rPr>
      </w:pPr>
      <w:r>
        <w:rPr>
          <w:rFonts w:hint="eastAsia"/>
          <w:b/>
          <w:bCs/>
          <w:sz w:val="44"/>
          <w:szCs w:val="44"/>
        </w:rPr>
        <w:t>山钢金控资产管理（深圳）有限公司</w:t>
      </w:r>
    </w:p>
    <w:p w:rsidR="00E52409" w:rsidRDefault="00EC4099">
      <w:pPr>
        <w:jc w:val="center"/>
        <w:rPr>
          <w:b/>
          <w:bCs/>
          <w:sz w:val="30"/>
          <w:szCs w:val="30"/>
        </w:rPr>
      </w:pPr>
      <w:r>
        <w:rPr>
          <w:rFonts w:hint="eastAsia"/>
          <w:b/>
          <w:bCs/>
          <w:sz w:val="44"/>
          <w:szCs w:val="44"/>
        </w:rPr>
        <w:t xml:space="preserve"> </w:t>
      </w:r>
      <w:r>
        <w:rPr>
          <w:rFonts w:hint="eastAsia"/>
          <w:b/>
          <w:bCs/>
          <w:sz w:val="44"/>
          <w:szCs w:val="44"/>
        </w:rPr>
        <w:t>数据资产入表综合服务报价单</w:t>
      </w:r>
    </w:p>
    <w:p w:rsidR="00E52409" w:rsidRDefault="00EC4099">
      <w:pPr>
        <w:jc w:val="center"/>
        <w:rPr>
          <w:rFonts w:ascii="宋体" w:eastAsia="宋体" w:hAnsi="宋体" w:cs="宋体"/>
          <w:b/>
          <w:bCs/>
          <w:sz w:val="24"/>
          <w:szCs w:val="24"/>
        </w:rPr>
      </w:pPr>
      <w:r>
        <w:rPr>
          <w:rFonts w:ascii="宋体" w:eastAsia="宋体" w:hAnsi="宋体" w:cs="宋体"/>
          <w:b/>
          <w:bCs/>
          <w:sz w:val="24"/>
          <w:szCs w:val="24"/>
        </w:rPr>
        <w:t>(</w:t>
      </w:r>
      <w:r>
        <w:rPr>
          <w:rFonts w:ascii="宋体" w:eastAsia="宋体" w:hAnsi="宋体" w:cs="宋体"/>
          <w:b/>
          <w:bCs/>
          <w:sz w:val="24"/>
          <w:szCs w:val="24"/>
        </w:rPr>
        <w:t>注</w:t>
      </w:r>
      <w:r>
        <w:rPr>
          <w:rFonts w:ascii="宋体" w:eastAsia="宋体" w:hAnsi="宋体" w:cs="宋体"/>
          <w:b/>
          <w:bCs/>
          <w:sz w:val="24"/>
          <w:szCs w:val="24"/>
        </w:rPr>
        <w:t>:</w:t>
      </w:r>
      <w:r>
        <w:rPr>
          <w:rFonts w:ascii="宋体" w:eastAsia="宋体" w:hAnsi="宋体" w:cs="宋体" w:hint="eastAsia"/>
          <w:b/>
          <w:bCs/>
          <w:sz w:val="24"/>
          <w:szCs w:val="24"/>
        </w:rPr>
        <w:t>服务报价机构可对内容与格式进行调整</w:t>
      </w:r>
      <w:r>
        <w:rPr>
          <w:rFonts w:ascii="宋体" w:eastAsia="宋体" w:hAnsi="宋体" w:cs="宋体" w:hint="eastAsia"/>
          <w:b/>
          <w:bCs/>
          <w:sz w:val="24"/>
          <w:szCs w:val="24"/>
        </w:rPr>
        <w:t>）</w:t>
      </w:r>
    </w:p>
    <w:tbl>
      <w:tblPr>
        <w:tblStyle w:val="a6"/>
        <w:tblpPr w:leftFromText="180" w:rightFromText="180" w:vertAnchor="text" w:horzAnchor="page" w:tblpX="1791" w:tblpY="310"/>
        <w:tblOverlap w:val="never"/>
        <w:tblW w:w="4997" w:type="pct"/>
        <w:tblLook w:val="04A0"/>
      </w:tblPr>
      <w:tblGrid>
        <w:gridCol w:w="892"/>
        <w:gridCol w:w="1535"/>
        <w:gridCol w:w="1543"/>
        <w:gridCol w:w="2104"/>
        <w:gridCol w:w="1346"/>
        <w:gridCol w:w="1097"/>
      </w:tblGrid>
      <w:tr w:rsidR="00E52409">
        <w:tc>
          <w:tcPr>
            <w:tcW w:w="523" w:type="pct"/>
          </w:tcPr>
          <w:p w:rsidR="00E52409" w:rsidRDefault="00EC4099">
            <w:pPr>
              <w:jc w:val="center"/>
              <w:rPr>
                <w:b/>
                <w:bCs/>
                <w:sz w:val="24"/>
                <w:szCs w:val="24"/>
              </w:rPr>
            </w:pPr>
            <w:r>
              <w:rPr>
                <w:rFonts w:hint="eastAsia"/>
                <w:b/>
                <w:bCs/>
                <w:sz w:val="24"/>
                <w:szCs w:val="24"/>
              </w:rPr>
              <w:t>序号</w:t>
            </w:r>
          </w:p>
        </w:tc>
        <w:tc>
          <w:tcPr>
            <w:tcW w:w="901" w:type="pct"/>
          </w:tcPr>
          <w:p w:rsidR="00E52409" w:rsidRDefault="00EC4099">
            <w:pPr>
              <w:jc w:val="center"/>
              <w:rPr>
                <w:b/>
                <w:bCs/>
                <w:sz w:val="24"/>
                <w:szCs w:val="24"/>
              </w:rPr>
            </w:pPr>
            <w:r>
              <w:rPr>
                <w:rFonts w:hint="eastAsia"/>
                <w:b/>
                <w:bCs/>
                <w:sz w:val="24"/>
                <w:szCs w:val="24"/>
              </w:rPr>
              <w:t>服务内容</w:t>
            </w:r>
          </w:p>
        </w:tc>
        <w:tc>
          <w:tcPr>
            <w:tcW w:w="906" w:type="pct"/>
          </w:tcPr>
          <w:p w:rsidR="00E52409" w:rsidRDefault="00EC4099">
            <w:pPr>
              <w:jc w:val="center"/>
              <w:rPr>
                <w:b/>
                <w:bCs/>
                <w:sz w:val="24"/>
                <w:szCs w:val="24"/>
              </w:rPr>
            </w:pPr>
            <w:r>
              <w:rPr>
                <w:rFonts w:hint="eastAsia"/>
                <w:b/>
                <w:bCs/>
                <w:sz w:val="24"/>
                <w:szCs w:val="24"/>
              </w:rPr>
              <w:t>输出成果</w:t>
            </w:r>
          </w:p>
        </w:tc>
        <w:tc>
          <w:tcPr>
            <w:tcW w:w="1235" w:type="pct"/>
          </w:tcPr>
          <w:p w:rsidR="00E52409" w:rsidRDefault="00EC4099">
            <w:pPr>
              <w:jc w:val="center"/>
              <w:rPr>
                <w:b/>
                <w:bCs/>
                <w:sz w:val="24"/>
                <w:szCs w:val="24"/>
              </w:rPr>
            </w:pPr>
            <w:r>
              <w:rPr>
                <w:rFonts w:hint="eastAsia"/>
                <w:b/>
                <w:bCs/>
                <w:sz w:val="24"/>
                <w:szCs w:val="24"/>
              </w:rPr>
              <w:t>主要工作</w:t>
            </w:r>
          </w:p>
        </w:tc>
        <w:tc>
          <w:tcPr>
            <w:tcW w:w="790" w:type="pct"/>
          </w:tcPr>
          <w:p w:rsidR="00E52409" w:rsidRDefault="00EC4099">
            <w:pPr>
              <w:jc w:val="center"/>
              <w:rPr>
                <w:b/>
                <w:bCs/>
                <w:sz w:val="24"/>
                <w:szCs w:val="24"/>
              </w:rPr>
            </w:pPr>
            <w:r>
              <w:rPr>
                <w:rFonts w:hint="eastAsia"/>
                <w:b/>
                <w:bCs/>
                <w:sz w:val="24"/>
                <w:szCs w:val="24"/>
              </w:rPr>
              <w:t>责任主体</w:t>
            </w:r>
          </w:p>
        </w:tc>
        <w:tc>
          <w:tcPr>
            <w:tcW w:w="644" w:type="pct"/>
          </w:tcPr>
          <w:p w:rsidR="00E52409" w:rsidRDefault="00EC4099">
            <w:pPr>
              <w:jc w:val="center"/>
              <w:rPr>
                <w:b/>
                <w:bCs/>
                <w:sz w:val="24"/>
                <w:szCs w:val="24"/>
              </w:rPr>
            </w:pPr>
            <w:r>
              <w:rPr>
                <w:rFonts w:hint="eastAsia"/>
                <w:b/>
                <w:bCs/>
                <w:sz w:val="24"/>
                <w:szCs w:val="24"/>
              </w:rPr>
              <w:t>价格</w:t>
            </w:r>
          </w:p>
        </w:tc>
      </w:tr>
      <w:tr w:rsidR="00E52409">
        <w:trPr>
          <w:trHeight w:hRule="exact" w:val="1266"/>
        </w:trPr>
        <w:tc>
          <w:tcPr>
            <w:tcW w:w="523" w:type="pct"/>
          </w:tcPr>
          <w:p w:rsidR="00E52409" w:rsidRDefault="00EC4099">
            <w:pPr>
              <w:jc w:val="center"/>
              <w:rPr>
                <w:sz w:val="24"/>
                <w:szCs w:val="24"/>
              </w:rPr>
            </w:pPr>
            <w:r>
              <w:rPr>
                <w:rFonts w:hint="eastAsia"/>
                <w:sz w:val="24"/>
                <w:szCs w:val="24"/>
              </w:rPr>
              <w:t>1</w:t>
            </w:r>
          </w:p>
        </w:tc>
        <w:tc>
          <w:tcPr>
            <w:tcW w:w="901" w:type="pct"/>
          </w:tcPr>
          <w:p w:rsidR="00E52409" w:rsidRDefault="00EC4099">
            <w:pPr>
              <w:widowControl/>
              <w:jc w:val="left"/>
              <w:rPr>
                <w:sz w:val="24"/>
                <w:szCs w:val="24"/>
              </w:rPr>
            </w:pPr>
            <w:r>
              <w:rPr>
                <w:rFonts w:ascii="仿宋" w:eastAsia="仿宋" w:hAnsi="仿宋" w:cs="仿宋"/>
                <w:color w:val="000000"/>
                <w:kern w:val="0"/>
                <w:sz w:val="24"/>
                <w:szCs w:val="24"/>
                <w:lang/>
              </w:rPr>
              <w:t>盘点数据</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目录并评</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估数据质</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量</w:t>
            </w:r>
          </w:p>
          <w:p w:rsidR="00E52409" w:rsidRDefault="00E52409">
            <w:pPr>
              <w:rPr>
                <w:sz w:val="24"/>
                <w:szCs w:val="24"/>
              </w:rPr>
            </w:pPr>
          </w:p>
        </w:tc>
        <w:tc>
          <w:tcPr>
            <w:tcW w:w="906" w:type="pct"/>
          </w:tcPr>
          <w:p w:rsidR="00E52409" w:rsidRDefault="00EC4099">
            <w:pPr>
              <w:widowControl/>
              <w:jc w:val="left"/>
              <w:rPr>
                <w:sz w:val="24"/>
                <w:szCs w:val="24"/>
              </w:rPr>
            </w:pPr>
            <w:r>
              <w:rPr>
                <w:rFonts w:ascii="仿宋" w:eastAsia="仿宋" w:hAnsi="仿宋" w:cs="仿宋"/>
                <w:color w:val="000000"/>
                <w:kern w:val="0"/>
                <w:sz w:val="24"/>
                <w:szCs w:val="24"/>
                <w:lang/>
              </w:rPr>
              <w:t>《数据</w:t>
            </w:r>
            <w:r>
              <w:rPr>
                <w:rFonts w:ascii="仿宋" w:eastAsia="仿宋" w:hAnsi="仿宋" w:cs="仿宋" w:hint="eastAsia"/>
                <w:color w:val="000000"/>
                <w:kern w:val="0"/>
                <w:sz w:val="24"/>
                <w:szCs w:val="24"/>
                <w:lang/>
              </w:rPr>
              <w:t>质量评价报告》</w:t>
            </w:r>
          </w:p>
          <w:p w:rsidR="00E52409" w:rsidRDefault="00E52409">
            <w:pPr>
              <w:rPr>
                <w:sz w:val="24"/>
                <w:szCs w:val="24"/>
              </w:rPr>
            </w:pPr>
          </w:p>
        </w:tc>
        <w:tc>
          <w:tcPr>
            <w:tcW w:w="1235" w:type="pct"/>
          </w:tcPr>
          <w:p w:rsidR="00E52409" w:rsidRDefault="00EC4099">
            <w:pPr>
              <w:widowControl/>
              <w:jc w:val="left"/>
              <w:rPr>
                <w:sz w:val="24"/>
                <w:szCs w:val="24"/>
              </w:rPr>
            </w:pPr>
            <w:r>
              <w:rPr>
                <w:rFonts w:ascii="仿宋" w:eastAsia="仿宋" w:hAnsi="仿宋" w:cs="仿宋"/>
                <w:color w:val="000000"/>
                <w:kern w:val="0"/>
                <w:sz w:val="24"/>
                <w:szCs w:val="24"/>
                <w:lang/>
              </w:rPr>
              <w:t>对现有数据资源进行盘点，</w:t>
            </w:r>
            <w:r>
              <w:rPr>
                <w:rFonts w:ascii="仿宋" w:eastAsia="仿宋" w:hAnsi="仿宋" w:cs="仿宋" w:hint="eastAsia"/>
                <w:color w:val="000000"/>
                <w:kern w:val="0"/>
                <w:sz w:val="24"/>
                <w:szCs w:val="24"/>
                <w:lang/>
              </w:rPr>
              <w:t>选择数据质量维度和指标评估数据质量。</w:t>
            </w:r>
          </w:p>
          <w:p w:rsidR="00E52409" w:rsidRDefault="00E52409">
            <w:pPr>
              <w:rPr>
                <w:sz w:val="24"/>
                <w:szCs w:val="24"/>
              </w:rPr>
            </w:pPr>
          </w:p>
        </w:tc>
        <w:tc>
          <w:tcPr>
            <w:tcW w:w="790" w:type="pct"/>
          </w:tcPr>
          <w:p w:rsidR="00E52409" w:rsidRDefault="00EC4099">
            <w:pPr>
              <w:widowControl/>
              <w:jc w:val="left"/>
              <w:rPr>
                <w:sz w:val="24"/>
                <w:szCs w:val="24"/>
              </w:rPr>
            </w:pPr>
            <w:r>
              <w:rPr>
                <w:rFonts w:ascii="仿宋" w:eastAsia="仿宋" w:hAnsi="仿宋" w:cs="仿宋"/>
                <w:color w:val="000000"/>
                <w:kern w:val="0"/>
                <w:sz w:val="24"/>
                <w:szCs w:val="24"/>
                <w:lang/>
              </w:rPr>
              <w:t>数据技术公</w:t>
            </w:r>
            <w:r>
              <w:rPr>
                <w:rFonts w:ascii="仿宋" w:eastAsia="仿宋" w:hAnsi="仿宋" w:cs="仿宋" w:hint="eastAsia"/>
                <w:color w:val="000000"/>
                <w:kern w:val="0"/>
                <w:sz w:val="24"/>
                <w:szCs w:val="24"/>
                <w:lang/>
              </w:rPr>
              <w:t>司</w:t>
            </w:r>
          </w:p>
          <w:p w:rsidR="00E52409" w:rsidRDefault="00E52409">
            <w:pPr>
              <w:rPr>
                <w:sz w:val="24"/>
                <w:szCs w:val="24"/>
              </w:rPr>
            </w:pPr>
          </w:p>
        </w:tc>
        <w:tc>
          <w:tcPr>
            <w:tcW w:w="644" w:type="pct"/>
          </w:tcPr>
          <w:p w:rsidR="00E52409" w:rsidRDefault="00E52409">
            <w:pPr>
              <w:jc w:val="center"/>
              <w:rPr>
                <w:sz w:val="24"/>
                <w:szCs w:val="24"/>
              </w:rPr>
            </w:pPr>
          </w:p>
        </w:tc>
      </w:tr>
      <w:tr w:rsidR="00E52409">
        <w:trPr>
          <w:trHeight w:hRule="exact" w:val="1898"/>
        </w:trPr>
        <w:tc>
          <w:tcPr>
            <w:tcW w:w="523" w:type="pct"/>
          </w:tcPr>
          <w:p w:rsidR="00E52409" w:rsidRDefault="00EC4099">
            <w:pPr>
              <w:jc w:val="center"/>
              <w:rPr>
                <w:sz w:val="24"/>
                <w:szCs w:val="24"/>
              </w:rPr>
            </w:pPr>
            <w:r>
              <w:rPr>
                <w:rFonts w:hint="eastAsia"/>
                <w:sz w:val="24"/>
                <w:szCs w:val="24"/>
              </w:rPr>
              <w:t>2</w:t>
            </w:r>
          </w:p>
        </w:tc>
        <w:tc>
          <w:tcPr>
            <w:tcW w:w="901" w:type="pct"/>
          </w:tcPr>
          <w:p w:rsidR="00E52409" w:rsidRDefault="00EC4099">
            <w:pPr>
              <w:widowControl/>
              <w:jc w:val="left"/>
              <w:rPr>
                <w:sz w:val="24"/>
                <w:szCs w:val="24"/>
              </w:rPr>
            </w:pPr>
            <w:r>
              <w:rPr>
                <w:rFonts w:ascii="仿宋" w:eastAsia="仿宋" w:hAnsi="仿宋" w:cs="仿宋"/>
                <w:color w:val="000000"/>
                <w:kern w:val="0"/>
                <w:sz w:val="24"/>
                <w:szCs w:val="24"/>
                <w:lang/>
              </w:rPr>
              <w:t>数据确权</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与合规评</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估</w:t>
            </w:r>
          </w:p>
          <w:p w:rsidR="00E52409" w:rsidRDefault="00E52409">
            <w:pPr>
              <w:rPr>
                <w:sz w:val="24"/>
                <w:szCs w:val="24"/>
              </w:rPr>
            </w:pPr>
          </w:p>
        </w:tc>
        <w:tc>
          <w:tcPr>
            <w:tcW w:w="906" w:type="pct"/>
          </w:tcPr>
          <w:p w:rsidR="00E52409" w:rsidRDefault="00EC4099">
            <w:pPr>
              <w:widowControl/>
              <w:jc w:val="left"/>
              <w:rPr>
                <w:sz w:val="24"/>
                <w:szCs w:val="24"/>
              </w:rPr>
            </w:pPr>
            <w:r>
              <w:rPr>
                <w:rFonts w:ascii="仿宋" w:eastAsia="仿宋" w:hAnsi="仿宋" w:cs="仿宋"/>
                <w:color w:val="000000"/>
                <w:kern w:val="0"/>
                <w:sz w:val="24"/>
                <w:szCs w:val="24"/>
                <w:lang/>
              </w:rPr>
              <w:t>《数据</w:t>
            </w:r>
            <w:r>
              <w:rPr>
                <w:rFonts w:ascii="仿宋" w:eastAsia="仿宋" w:hAnsi="仿宋" w:cs="仿宋" w:hint="eastAsia"/>
                <w:color w:val="000000"/>
                <w:kern w:val="0"/>
                <w:sz w:val="24"/>
                <w:szCs w:val="24"/>
                <w:lang/>
              </w:rPr>
              <w:t>确权与合规分析报告</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意见书》</w:t>
            </w:r>
          </w:p>
          <w:p w:rsidR="00E52409" w:rsidRDefault="00E52409">
            <w:pPr>
              <w:rPr>
                <w:sz w:val="24"/>
                <w:szCs w:val="24"/>
              </w:rPr>
            </w:pPr>
          </w:p>
        </w:tc>
        <w:tc>
          <w:tcPr>
            <w:tcW w:w="1235" w:type="pct"/>
          </w:tcPr>
          <w:p w:rsidR="00E52409" w:rsidRDefault="00EC4099">
            <w:pPr>
              <w:widowControl/>
              <w:jc w:val="left"/>
              <w:rPr>
                <w:sz w:val="24"/>
                <w:szCs w:val="24"/>
              </w:rPr>
            </w:pPr>
            <w:r>
              <w:rPr>
                <w:rFonts w:ascii="仿宋" w:eastAsia="仿宋" w:hAnsi="仿宋" w:cs="仿宋"/>
                <w:color w:val="000000"/>
                <w:kern w:val="0"/>
                <w:sz w:val="24"/>
                <w:szCs w:val="24"/>
                <w:lang/>
              </w:rPr>
              <w:t>对拟入表的数据资源权属、数据来</w:t>
            </w:r>
            <w:r>
              <w:rPr>
                <w:rFonts w:ascii="仿宋" w:eastAsia="仿宋" w:hAnsi="仿宋" w:cs="仿宋" w:hint="eastAsia"/>
                <w:color w:val="000000"/>
                <w:kern w:val="0"/>
                <w:sz w:val="24"/>
                <w:szCs w:val="24"/>
                <w:lang/>
              </w:rPr>
              <w:t>源、数据内容、数据管理、数据经营等方面进行合规分析评估。</w:t>
            </w:r>
          </w:p>
          <w:p w:rsidR="00E52409" w:rsidRDefault="00E52409">
            <w:pPr>
              <w:rPr>
                <w:sz w:val="24"/>
                <w:szCs w:val="24"/>
              </w:rPr>
            </w:pPr>
          </w:p>
        </w:tc>
        <w:tc>
          <w:tcPr>
            <w:tcW w:w="790" w:type="pct"/>
            <w:vMerge w:val="restart"/>
          </w:tcPr>
          <w:p w:rsidR="00E52409" w:rsidRDefault="00EC4099">
            <w:pPr>
              <w:widowControl/>
              <w:jc w:val="left"/>
              <w:rPr>
                <w:sz w:val="24"/>
                <w:szCs w:val="24"/>
              </w:rPr>
            </w:pPr>
            <w:r>
              <w:rPr>
                <w:rFonts w:ascii="仿宋" w:eastAsia="仿宋" w:hAnsi="仿宋" w:cs="仿宋"/>
                <w:color w:val="000000"/>
                <w:kern w:val="0"/>
                <w:sz w:val="24"/>
                <w:szCs w:val="24"/>
                <w:lang/>
              </w:rPr>
              <w:t>律师事</w:t>
            </w:r>
            <w:r>
              <w:rPr>
                <w:rFonts w:ascii="仿宋" w:eastAsia="仿宋" w:hAnsi="仿宋" w:cs="仿宋" w:hint="eastAsia"/>
                <w:color w:val="000000"/>
                <w:kern w:val="0"/>
                <w:sz w:val="24"/>
                <w:szCs w:val="24"/>
                <w:lang/>
              </w:rPr>
              <w:t>务</w:t>
            </w:r>
            <w:r>
              <w:rPr>
                <w:rFonts w:ascii="仿宋" w:eastAsia="仿宋" w:hAnsi="仿宋" w:cs="仿宋"/>
                <w:color w:val="000000"/>
                <w:kern w:val="0"/>
                <w:sz w:val="24"/>
                <w:szCs w:val="24"/>
                <w:lang/>
              </w:rPr>
              <w:t>所</w:t>
            </w:r>
          </w:p>
          <w:p w:rsidR="00E52409" w:rsidRDefault="00E52409">
            <w:pPr>
              <w:rPr>
                <w:sz w:val="24"/>
                <w:szCs w:val="24"/>
              </w:rPr>
            </w:pPr>
          </w:p>
        </w:tc>
        <w:tc>
          <w:tcPr>
            <w:tcW w:w="644" w:type="pct"/>
            <w:vMerge w:val="restart"/>
          </w:tcPr>
          <w:p w:rsidR="00E52409" w:rsidRDefault="00E52409">
            <w:pPr>
              <w:jc w:val="center"/>
              <w:rPr>
                <w:sz w:val="24"/>
                <w:szCs w:val="24"/>
              </w:rPr>
            </w:pPr>
          </w:p>
        </w:tc>
      </w:tr>
      <w:tr w:rsidR="00E52409">
        <w:trPr>
          <w:trHeight w:hRule="exact" w:val="2590"/>
        </w:trPr>
        <w:tc>
          <w:tcPr>
            <w:tcW w:w="523" w:type="pct"/>
          </w:tcPr>
          <w:p w:rsidR="00E52409" w:rsidRDefault="00EC4099">
            <w:pPr>
              <w:jc w:val="center"/>
              <w:rPr>
                <w:sz w:val="24"/>
                <w:szCs w:val="24"/>
              </w:rPr>
            </w:pPr>
            <w:r>
              <w:rPr>
                <w:rFonts w:hint="eastAsia"/>
                <w:sz w:val="24"/>
                <w:szCs w:val="24"/>
              </w:rPr>
              <w:t>3</w:t>
            </w:r>
          </w:p>
        </w:tc>
        <w:tc>
          <w:tcPr>
            <w:tcW w:w="901" w:type="pct"/>
          </w:tcPr>
          <w:p w:rsidR="00E52409" w:rsidRDefault="00EC4099">
            <w:pPr>
              <w:widowControl/>
              <w:jc w:val="left"/>
              <w:rPr>
                <w:sz w:val="24"/>
                <w:szCs w:val="24"/>
              </w:rPr>
            </w:pPr>
            <w:r>
              <w:rPr>
                <w:rFonts w:ascii="仿宋" w:eastAsia="仿宋" w:hAnsi="仿宋" w:cs="仿宋"/>
                <w:color w:val="000000"/>
                <w:kern w:val="0"/>
                <w:sz w:val="24"/>
                <w:szCs w:val="24"/>
                <w:lang/>
              </w:rPr>
              <w:t>数据资</w:t>
            </w:r>
            <w:r>
              <w:rPr>
                <w:rFonts w:ascii="仿宋" w:eastAsia="仿宋" w:hAnsi="仿宋" w:cs="仿宋" w:hint="eastAsia"/>
                <w:color w:val="000000"/>
                <w:kern w:val="0"/>
                <w:sz w:val="24"/>
                <w:szCs w:val="24"/>
                <w:lang/>
              </w:rPr>
              <w:t>产登记</w:t>
            </w:r>
          </w:p>
          <w:p w:rsidR="00E52409" w:rsidRDefault="00E52409">
            <w:pPr>
              <w:rPr>
                <w:sz w:val="24"/>
                <w:szCs w:val="24"/>
              </w:rPr>
            </w:pPr>
          </w:p>
        </w:tc>
        <w:tc>
          <w:tcPr>
            <w:tcW w:w="906" w:type="pct"/>
          </w:tcPr>
          <w:p w:rsidR="00E52409" w:rsidRDefault="00EC4099">
            <w:pPr>
              <w:widowControl/>
              <w:jc w:val="left"/>
              <w:rPr>
                <w:sz w:val="24"/>
                <w:szCs w:val="24"/>
              </w:rPr>
            </w:pPr>
            <w:r>
              <w:rPr>
                <w:rFonts w:ascii="仿宋" w:eastAsia="仿宋" w:hAnsi="仿宋" w:cs="仿宋"/>
                <w:color w:val="000000"/>
                <w:kern w:val="0"/>
                <w:sz w:val="24"/>
                <w:szCs w:val="24"/>
                <w:lang/>
              </w:rPr>
              <w:t>《</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数据</w:t>
            </w:r>
            <w:r>
              <w:rPr>
                <w:rFonts w:ascii="仿宋" w:eastAsia="仿宋" w:hAnsi="仿宋" w:cs="仿宋" w:hint="eastAsia"/>
                <w:color w:val="000000"/>
                <w:kern w:val="0"/>
                <w:sz w:val="24"/>
                <w:szCs w:val="24"/>
                <w:lang/>
              </w:rPr>
              <w:t>产品</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数据资</w:t>
            </w:r>
            <w:r>
              <w:rPr>
                <w:rFonts w:ascii="仿宋" w:eastAsia="仿宋" w:hAnsi="仿宋" w:cs="仿宋" w:hint="eastAsia"/>
                <w:color w:val="000000"/>
                <w:kern w:val="0"/>
                <w:sz w:val="24"/>
                <w:szCs w:val="24"/>
                <w:lang/>
              </w:rPr>
              <w:t xml:space="preserve"> </w:t>
            </w:r>
            <w:r>
              <w:rPr>
                <w:rFonts w:ascii="仿宋" w:eastAsia="仿宋" w:hAnsi="仿宋" w:cs="仿宋" w:hint="eastAsia"/>
                <w:color w:val="000000"/>
                <w:kern w:val="0"/>
                <w:sz w:val="24"/>
                <w:szCs w:val="24"/>
                <w:lang/>
              </w:rPr>
              <w:t>产登记书》</w:t>
            </w:r>
          </w:p>
          <w:p w:rsidR="00E52409" w:rsidRDefault="00E52409">
            <w:pPr>
              <w:rPr>
                <w:sz w:val="24"/>
                <w:szCs w:val="24"/>
              </w:rPr>
            </w:pPr>
          </w:p>
        </w:tc>
        <w:tc>
          <w:tcPr>
            <w:tcW w:w="1235" w:type="pct"/>
          </w:tcPr>
          <w:p w:rsidR="00E52409" w:rsidRDefault="00EC4099">
            <w:pPr>
              <w:widowControl/>
              <w:jc w:val="left"/>
              <w:rPr>
                <w:sz w:val="24"/>
                <w:szCs w:val="24"/>
              </w:rPr>
            </w:pPr>
            <w:r>
              <w:rPr>
                <w:rFonts w:ascii="仿宋" w:eastAsia="仿宋" w:hAnsi="仿宋" w:cs="仿宋"/>
                <w:color w:val="000000"/>
                <w:kern w:val="0"/>
                <w:sz w:val="24"/>
                <w:szCs w:val="24"/>
                <w:lang/>
              </w:rPr>
              <w:t>协助对接数据交易所将拟入表的</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数据产品或数据资源进行合规审</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查并按数据交易所要求协助企业</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完成审查材料并取得登记证书。</w:t>
            </w:r>
          </w:p>
          <w:p w:rsidR="00E52409" w:rsidRDefault="00E52409">
            <w:pPr>
              <w:rPr>
                <w:sz w:val="24"/>
                <w:szCs w:val="24"/>
              </w:rPr>
            </w:pPr>
          </w:p>
        </w:tc>
        <w:tc>
          <w:tcPr>
            <w:tcW w:w="790" w:type="pct"/>
            <w:vMerge/>
          </w:tcPr>
          <w:p w:rsidR="00E52409" w:rsidRDefault="00E52409">
            <w:pPr>
              <w:rPr>
                <w:sz w:val="24"/>
                <w:szCs w:val="24"/>
              </w:rPr>
            </w:pPr>
          </w:p>
        </w:tc>
        <w:tc>
          <w:tcPr>
            <w:tcW w:w="644" w:type="pct"/>
            <w:vMerge/>
          </w:tcPr>
          <w:p w:rsidR="00E52409" w:rsidRDefault="00E52409">
            <w:pPr>
              <w:jc w:val="center"/>
              <w:rPr>
                <w:sz w:val="24"/>
                <w:szCs w:val="24"/>
              </w:rPr>
            </w:pPr>
          </w:p>
        </w:tc>
      </w:tr>
      <w:tr w:rsidR="00E52409">
        <w:trPr>
          <w:trHeight w:hRule="exact" w:val="3458"/>
        </w:trPr>
        <w:tc>
          <w:tcPr>
            <w:tcW w:w="523" w:type="pct"/>
          </w:tcPr>
          <w:p w:rsidR="00E52409" w:rsidRDefault="00EC4099">
            <w:pPr>
              <w:jc w:val="center"/>
              <w:rPr>
                <w:sz w:val="24"/>
                <w:szCs w:val="24"/>
              </w:rPr>
            </w:pPr>
            <w:r>
              <w:rPr>
                <w:rFonts w:hint="eastAsia"/>
                <w:sz w:val="24"/>
                <w:szCs w:val="24"/>
              </w:rPr>
              <w:lastRenderedPageBreak/>
              <w:t>4</w:t>
            </w:r>
          </w:p>
        </w:tc>
        <w:tc>
          <w:tcPr>
            <w:tcW w:w="901" w:type="pct"/>
          </w:tcPr>
          <w:p w:rsidR="00E52409" w:rsidRDefault="00EC4099">
            <w:pPr>
              <w:widowControl/>
              <w:jc w:val="left"/>
              <w:rPr>
                <w:sz w:val="24"/>
                <w:szCs w:val="24"/>
              </w:rPr>
            </w:pPr>
            <w:r>
              <w:rPr>
                <w:rFonts w:ascii="仿宋" w:eastAsia="仿宋" w:hAnsi="仿宋" w:cs="仿宋"/>
                <w:color w:val="000000"/>
                <w:kern w:val="0"/>
                <w:sz w:val="24"/>
                <w:szCs w:val="24"/>
                <w:lang/>
              </w:rPr>
              <w:t>完成成本</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投入归集</w:t>
            </w:r>
            <w:r>
              <w:rPr>
                <w:rFonts w:ascii="仿宋" w:eastAsia="仿宋" w:hAnsi="仿宋" w:cs="仿宋" w:hint="eastAsia"/>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分摊分析</w:t>
            </w:r>
          </w:p>
          <w:p w:rsidR="00E52409" w:rsidRDefault="00EC4099">
            <w:pPr>
              <w:widowControl/>
              <w:jc w:val="left"/>
              <w:rPr>
                <w:sz w:val="24"/>
                <w:szCs w:val="24"/>
              </w:rPr>
            </w:pPr>
            <w:r>
              <w:rPr>
                <w:rFonts w:ascii="仿宋" w:eastAsia="仿宋" w:hAnsi="仿宋" w:cs="仿宋"/>
                <w:color w:val="000000"/>
                <w:kern w:val="0"/>
                <w:sz w:val="24"/>
                <w:szCs w:val="24"/>
                <w:lang/>
              </w:rPr>
              <w:t>完成数据</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资产入表</w:t>
            </w:r>
          </w:p>
          <w:p w:rsidR="00E52409" w:rsidRDefault="00E52409">
            <w:pPr>
              <w:rPr>
                <w:sz w:val="24"/>
                <w:szCs w:val="24"/>
              </w:rPr>
            </w:pPr>
          </w:p>
        </w:tc>
        <w:tc>
          <w:tcPr>
            <w:tcW w:w="906" w:type="pct"/>
          </w:tcPr>
          <w:p w:rsidR="00E52409" w:rsidRDefault="00EC4099">
            <w:pPr>
              <w:widowControl/>
              <w:jc w:val="left"/>
              <w:rPr>
                <w:sz w:val="24"/>
                <w:szCs w:val="24"/>
              </w:rPr>
            </w:pPr>
            <w:r>
              <w:rPr>
                <w:rFonts w:ascii="仿宋" w:eastAsia="仿宋" w:hAnsi="仿宋" w:cs="仿宋"/>
                <w:color w:val="000000"/>
                <w:kern w:val="0"/>
                <w:sz w:val="24"/>
                <w:szCs w:val="24"/>
                <w:lang/>
              </w:rPr>
              <w:t>《数据</w:t>
            </w:r>
            <w:r>
              <w:rPr>
                <w:rFonts w:ascii="仿宋" w:eastAsia="仿宋" w:hAnsi="仿宋" w:cs="仿宋" w:hint="eastAsia"/>
                <w:color w:val="000000"/>
                <w:kern w:val="0"/>
                <w:sz w:val="24"/>
                <w:szCs w:val="24"/>
                <w:lang/>
              </w:rPr>
              <w:t>资源</w:t>
            </w:r>
            <w:r>
              <w:rPr>
                <w:rFonts w:ascii="仿宋" w:eastAsia="仿宋" w:hAnsi="仿宋" w:cs="仿宋" w:hint="eastAsia"/>
                <w:color w:val="000000"/>
                <w:kern w:val="0"/>
                <w:sz w:val="24"/>
                <w:szCs w:val="24"/>
                <w:lang/>
              </w:rPr>
              <w:t xml:space="preserve"> </w:t>
            </w:r>
            <w:r>
              <w:rPr>
                <w:rFonts w:ascii="仿宋" w:eastAsia="仿宋" w:hAnsi="仿宋" w:cs="仿宋" w:hint="eastAsia"/>
                <w:color w:val="000000"/>
                <w:kern w:val="0"/>
                <w:sz w:val="24"/>
                <w:szCs w:val="24"/>
                <w:lang/>
              </w:rPr>
              <w:t>入表会计处</w:t>
            </w:r>
            <w:r>
              <w:rPr>
                <w:rFonts w:ascii="仿宋" w:eastAsia="仿宋" w:hAnsi="仿宋" w:cs="仿宋" w:hint="eastAsia"/>
                <w:color w:val="000000"/>
                <w:kern w:val="0"/>
                <w:sz w:val="24"/>
                <w:szCs w:val="24"/>
                <w:lang/>
              </w:rPr>
              <w:t xml:space="preserve"> </w:t>
            </w:r>
            <w:r>
              <w:rPr>
                <w:rFonts w:ascii="仿宋" w:eastAsia="仿宋" w:hAnsi="仿宋" w:cs="仿宋" w:hint="eastAsia"/>
                <w:color w:val="000000"/>
                <w:kern w:val="0"/>
                <w:sz w:val="24"/>
                <w:szCs w:val="24"/>
                <w:lang/>
              </w:rPr>
              <w:t>理意见书》</w:t>
            </w:r>
          </w:p>
          <w:p w:rsidR="00E52409" w:rsidRDefault="00E52409">
            <w:pPr>
              <w:rPr>
                <w:sz w:val="24"/>
                <w:szCs w:val="24"/>
              </w:rPr>
            </w:pPr>
          </w:p>
        </w:tc>
        <w:tc>
          <w:tcPr>
            <w:tcW w:w="1235" w:type="pct"/>
          </w:tcPr>
          <w:p w:rsidR="00E52409" w:rsidRDefault="00EC4099">
            <w:pPr>
              <w:widowControl/>
              <w:jc w:val="left"/>
              <w:rPr>
                <w:sz w:val="24"/>
                <w:szCs w:val="24"/>
              </w:rPr>
            </w:pPr>
            <w:r>
              <w:rPr>
                <w:rFonts w:ascii="仿宋" w:eastAsia="仿宋" w:hAnsi="仿宋" w:cs="仿宋"/>
                <w:color w:val="000000"/>
                <w:kern w:val="0"/>
                <w:sz w:val="24"/>
                <w:szCs w:val="24"/>
                <w:lang/>
              </w:rPr>
              <w:t>协助企业将识别出的初步具备入</w:t>
            </w:r>
            <w:r>
              <w:rPr>
                <w:rFonts w:ascii="仿宋" w:eastAsia="仿宋" w:hAnsi="仿宋" w:cs="仿宋"/>
                <w:color w:val="000000"/>
                <w:kern w:val="0"/>
                <w:sz w:val="24"/>
                <w:szCs w:val="24"/>
                <w:lang/>
              </w:rPr>
              <w:t xml:space="preserve"> </w:t>
            </w:r>
          </w:p>
          <w:p w:rsidR="00E52409" w:rsidRDefault="00EC4099">
            <w:pPr>
              <w:widowControl/>
              <w:jc w:val="left"/>
              <w:rPr>
                <w:sz w:val="24"/>
                <w:szCs w:val="24"/>
              </w:rPr>
            </w:pPr>
            <w:r>
              <w:rPr>
                <w:rFonts w:ascii="仿宋" w:eastAsia="仿宋" w:hAnsi="仿宋" w:cs="仿宋" w:hint="eastAsia"/>
                <w:color w:val="000000"/>
                <w:kern w:val="0"/>
                <w:sz w:val="24"/>
                <w:szCs w:val="24"/>
                <w:lang/>
              </w:rPr>
              <w:t>表条件的数据资产进行逐项评价，对于其中符合合规要求、权属清晰、预期经济利益明确、成本能够可靠计量的数据资源进行会计确认、列报与披露。</w:t>
            </w:r>
          </w:p>
          <w:p w:rsidR="00E52409" w:rsidRDefault="00E52409">
            <w:pPr>
              <w:rPr>
                <w:sz w:val="24"/>
                <w:szCs w:val="24"/>
              </w:rPr>
            </w:pPr>
          </w:p>
        </w:tc>
        <w:tc>
          <w:tcPr>
            <w:tcW w:w="790" w:type="pct"/>
          </w:tcPr>
          <w:p w:rsidR="00E52409" w:rsidRDefault="00EC4099">
            <w:pPr>
              <w:widowControl/>
              <w:jc w:val="left"/>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会计师事务所</w:t>
            </w:r>
          </w:p>
        </w:tc>
        <w:tc>
          <w:tcPr>
            <w:tcW w:w="644" w:type="pct"/>
          </w:tcPr>
          <w:p w:rsidR="00E52409" w:rsidRDefault="00E52409">
            <w:pPr>
              <w:widowControl/>
              <w:jc w:val="center"/>
              <w:rPr>
                <w:rFonts w:ascii="仿宋" w:eastAsia="仿宋" w:hAnsi="仿宋" w:cs="仿宋"/>
                <w:color w:val="000000"/>
                <w:kern w:val="0"/>
                <w:sz w:val="24"/>
                <w:szCs w:val="24"/>
                <w:lang/>
              </w:rPr>
            </w:pPr>
          </w:p>
        </w:tc>
      </w:tr>
      <w:tr w:rsidR="00E52409">
        <w:trPr>
          <w:trHeight w:val="448"/>
        </w:trPr>
        <w:tc>
          <w:tcPr>
            <w:tcW w:w="4355" w:type="pct"/>
            <w:gridSpan w:val="5"/>
            <w:vAlign w:val="center"/>
          </w:tcPr>
          <w:p w:rsidR="00E52409" w:rsidRDefault="00EC4099">
            <w:pPr>
              <w:jc w:val="center"/>
              <w:rPr>
                <w:sz w:val="24"/>
                <w:szCs w:val="24"/>
              </w:rPr>
            </w:pPr>
            <w:r>
              <w:rPr>
                <w:rFonts w:ascii="宋体" w:eastAsia="宋体" w:hAnsi="宋体" w:cs="宋体" w:hint="eastAsia"/>
                <w:b/>
                <w:bCs/>
                <w:sz w:val="24"/>
                <w:szCs w:val="24"/>
              </w:rPr>
              <w:t>合计（单位</w:t>
            </w:r>
            <w:r>
              <w:rPr>
                <w:rFonts w:ascii="宋体" w:eastAsia="宋体" w:hAnsi="宋体" w:cs="宋体" w:hint="eastAsia"/>
                <w:b/>
                <w:bCs/>
                <w:sz w:val="24"/>
                <w:szCs w:val="24"/>
              </w:rPr>
              <w:t xml:space="preserve"> </w:t>
            </w:r>
            <w:r>
              <w:rPr>
                <w:rFonts w:ascii="宋体" w:eastAsia="宋体" w:hAnsi="宋体" w:cs="宋体" w:hint="eastAsia"/>
                <w:b/>
                <w:bCs/>
                <w:sz w:val="24"/>
                <w:szCs w:val="24"/>
              </w:rPr>
              <w:t>人民币：元）</w:t>
            </w:r>
          </w:p>
        </w:tc>
        <w:tc>
          <w:tcPr>
            <w:tcW w:w="644" w:type="pct"/>
          </w:tcPr>
          <w:p w:rsidR="00E52409" w:rsidRDefault="00E52409">
            <w:pPr>
              <w:jc w:val="center"/>
              <w:rPr>
                <w:sz w:val="24"/>
                <w:szCs w:val="24"/>
              </w:rPr>
            </w:pPr>
          </w:p>
        </w:tc>
      </w:tr>
    </w:tbl>
    <w:p w:rsidR="00E52409" w:rsidRDefault="00EC4099" w:rsidP="00EC4099">
      <w:pPr>
        <w:adjustRightInd w:val="0"/>
        <w:spacing w:beforeLines="50" w:afterLines="50" w:line="360" w:lineRule="auto"/>
        <w:jc w:val="center"/>
        <w:textAlignment w:val="baseline"/>
        <w:rPr>
          <w:rFonts w:ascii="宋体" w:eastAsia="宋体" w:hAnsi="宋体" w:cs="宋体"/>
          <w:b/>
          <w:bCs/>
          <w:sz w:val="32"/>
          <w:szCs w:val="32"/>
        </w:rPr>
      </w:pPr>
      <w:r>
        <w:rPr>
          <w:rFonts w:ascii="宋体" w:eastAsia="宋体" w:hAnsi="宋体" w:cs="宋体" w:hint="eastAsia"/>
          <w:b/>
          <w:bCs/>
          <w:sz w:val="32"/>
          <w:szCs w:val="32"/>
        </w:rPr>
        <w:t xml:space="preserve">  </w:t>
      </w:r>
      <w:r>
        <w:rPr>
          <w:rFonts w:ascii="宋体" w:eastAsia="宋体" w:hAnsi="宋体" w:cs="宋体" w:hint="eastAsia"/>
          <w:b/>
          <w:bCs/>
          <w:sz w:val="32"/>
          <w:szCs w:val="32"/>
        </w:rPr>
        <w:t>主责服务机构：</w:t>
      </w:r>
      <w:r>
        <w:rPr>
          <w:rFonts w:ascii="宋体" w:eastAsia="宋体" w:hAnsi="宋体" w:cs="宋体" w:hint="eastAsia"/>
          <w:b/>
          <w:bCs/>
          <w:sz w:val="32"/>
          <w:szCs w:val="32"/>
        </w:rPr>
        <w:t xml:space="preserve"> </w:t>
      </w:r>
    </w:p>
    <w:p w:rsidR="00E52409" w:rsidRDefault="00EC4099">
      <w:pPr>
        <w:pStyle w:val="a0"/>
        <w:ind w:firstLineChars="1000" w:firstLine="3213"/>
        <w:rPr>
          <w:rFonts w:ascii="宋体" w:hAnsi="宋体" w:cs="宋体"/>
          <w:b/>
          <w:bCs/>
          <w:sz w:val="32"/>
          <w:szCs w:val="32"/>
        </w:rPr>
      </w:pPr>
      <w:r>
        <w:rPr>
          <w:rFonts w:ascii="宋体" w:hAnsi="宋体" w:cs="宋体" w:hint="eastAsia"/>
          <w:b/>
          <w:bCs/>
          <w:sz w:val="32"/>
          <w:szCs w:val="32"/>
        </w:rPr>
        <w:t>联系人：</w:t>
      </w:r>
    </w:p>
    <w:p w:rsidR="00E52409" w:rsidRDefault="00EC4099">
      <w:pPr>
        <w:ind w:firstLineChars="1000" w:firstLine="3213"/>
      </w:pPr>
      <w:r>
        <w:rPr>
          <w:rFonts w:ascii="宋体" w:hAnsi="宋体" w:cs="宋体" w:hint="eastAsia"/>
          <w:b/>
          <w:bCs/>
          <w:sz w:val="32"/>
          <w:szCs w:val="32"/>
        </w:rPr>
        <w:t>联系方式：</w:t>
      </w:r>
    </w:p>
    <w:p w:rsidR="00E52409" w:rsidRDefault="00EC4099">
      <w:pPr>
        <w:ind w:firstLineChars="1500" w:firstLine="4819"/>
        <w:jc w:val="right"/>
        <w:rPr>
          <w:rFonts w:ascii="宋体" w:eastAsia="宋体" w:hAnsi="宋体" w:cs="宋体"/>
          <w:b/>
          <w:bCs/>
          <w:sz w:val="32"/>
          <w:szCs w:val="32"/>
        </w:rPr>
      </w:pPr>
      <w:r>
        <w:rPr>
          <w:rFonts w:ascii="宋体" w:eastAsia="宋体" w:hAnsi="宋体" w:cs="宋体" w:hint="eastAsia"/>
          <w:b/>
          <w:bCs/>
          <w:sz w:val="32"/>
          <w:szCs w:val="32"/>
        </w:rPr>
        <w:t>2025</w:t>
      </w:r>
      <w:r>
        <w:rPr>
          <w:rFonts w:ascii="宋体" w:eastAsia="宋体" w:hAnsi="宋体" w:cs="宋体" w:hint="eastAsia"/>
          <w:b/>
          <w:bCs/>
          <w:sz w:val="32"/>
          <w:szCs w:val="32"/>
        </w:rPr>
        <w:t>年</w:t>
      </w:r>
      <w:r>
        <w:rPr>
          <w:rFonts w:ascii="宋体" w:eastAsia="宋体" w:hAnsi="宋体" w:cs="宋体" w:hint="eastAsia"/>
          <w:b/>
          <w:bCs/>
          <w:sz w:val="32"/>
          <w:szCs w:val="32"/>
        </w:rPr>
        <w:t xml:space="preserve">  </w:t>
      </w:r>
      <w:r>
        <w:rPr>
          <w:rFonts w:ascii="宋体" w:eastAsia="宋体" w:hAnsi="宋体" w:cs="宋体" w:hint="eastAsia"/>
          <w:b/>
          <w:bCs/>
          <w:sz w:val="32"/>
          <w:szCs w:val="32"/>
        </w:rPr>
        <w:t>月</w:t>
      </w:r>
      <w:r>
        <w:rPr>
          <w:rFonts w:ascii="宋体" w:eastAsia="宋体" w:hAnsi="宋体" w:cs="宋体" w:hint="eastAsia"/>
          <w:b/>
          <w:bCs/>
          <w:sz w:val="32"/>
          <w:szCs w:val="32"/>
        </w:rPr>
        <w:t xml:space="preserve">  </w:t>
      </w:r>
      <w:r>
        <w:rPr>
          <w:rFonts w:ascii="宋体" w:eastAsia="宋体" w:hAnsi="宋体" w:cs="宋体" w:hint="eastAsia"/>
          <w:b/>
          <w:bCs/>
          <w:sz w:val="32"/>
          <w:szCs w:val="32"/>
        </w:rPr>
        <w:t>日</w:t>
      </w:r>
    </w:p>
    <w:p w:rsidR="00E52409" w:rsidRDefault="00E52409">
      <w:pPr>
        <w:pStyle w:val="a0"/>
        <w:jc w:val="right"/>
      </w:pPr>
    </w:p>
    <w:sectPr w:rsidR="00E52409" w:rsidSect="00E524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F189229-2A75-4EA8-A7F2-7E55A4D1A98F}"/>
    <w:embedBold r:id="rId2" w:subsetted="1" w:fontKey="{4FF20C6B-3628-4D92-B6F7-414CF284002D}"/>
  </w:font>
  <w:font w:name="方正小标宋简体">
    <w:charset w:val="86"/>
    <w:family w:val="auto"/>
    <w:pitch w:val="default"/>
    <w:sig w:usb0="00000001" w:usb1="08000000" w:usb2="00000000" w:usb3="00000000" w:csb0="00040000" w:csb1="00000000"/>
    <w:embedRegular r:id="rId3" w:subsetted="1" w:fontKey="{ED936ECD-2732-4AE3-B280-407A85A1D725}"/>
  </w:font>
  <w:font w:name="仿宋">
    <w:panose1 w:val="02010609060101010101"/>
    <w:charset w:val="86"/>
    <w:family w:val="modern"/>
    <w:pitch w:val="fixed"/>
    <w:sig w:usb0="800002BF" w:usb1="38CF7CFA" w:usb2="00000016" w:usb3="00000000" w:csb0="00040001" w:csb1="00000000"/>
    <w:embedRegular r:id="rId4" w:subsetted="1" w:fontKey="{80CAF5D3-7EAC-42C5-AA1E-15BA59B16089}"/>
  </w:font>
  <w:font w:name="楷体">
    <w:panose1 w:val="02010609060101010101"/>
    <w:charset w:val="86"/>
    <w:family w:val="modern"/>
    <w:pitch w:val="fixed"/>
    <w:sig w:usb0="800002BF" w:usb1="38CF7CFA" w:usb2="00000016" w:usb3="00000000" w:csb0="00040001" w:csb1="00000000"/>
    <w:embedBold r:id="rId5" w:subsetted="1" w:fontKey="{0C4043D2-829D-439E-90FC-EFE87D5A9104}"/>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B1F0"/>
    <w:multiLevelType w:val="singleLevel"/>
    <w:tmpl w:val="24BAB1F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proofState w:spelling="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00E52409"/>
    <w:rsid w:val="00AD558A"/>
    <w:rsid w:val="00E52409"/>
    <w:rsid w:val="00EC4099"/>
    <w:rsid w:val="071023CF"/>
    <w:rsid w:val="0BDA4A78"/>
    <w:rsid w:val="0DDF6F9F"/>
    <w:rsid w:val="10596B94"/>
    <w:rsid w:val="10FB5E9E"/>
    <w:rsid w:val="139B3968"/>
    <w:rsid w:val="144638D4"/>
    <w:rsid w:val="14DA401C"/>
    <w:rsid w:val="151B4D60"/>
    <w:rsid w:val="153C4F67"/>
    <w:rsid w:val="162B5D51"/>
    <w:rsid w:val="16E60255"/>
    <w:rsid w:val="1735378C"/>
    <w:rsid w:val="17D82A95"/>
    <w:rsid w:val="19960E59"/>
    <w:rsid w:val="1C3B5CE8"/>
    <w:rsid w:val="1C3F6BEA"/>
    <w:rsid w:val="1C41583D"/>
    <w:rsid w:val="1EEB4CB3"/>
    <w:rsid w:val="1FBE03CA"/>
    <w:rsid w:val="20A63FE8"/>
    <w:rsid w:val="215835E2"/>
    <w:rsid w:val="23151041"/>
    <w:rsid w:val="24ED56A6"/>
    <w:rsid w:val="26215F4F"/>
    <w:rsid w:val="269009DE"/>
    <w:rsid w:val="27595274"/>
    <w:rsid w:val="2A7E3970"/>
    <w:rsid w:val="2C1C30F0"/>
    <w:rsid w:val="2E25246D"/>
    <w:rsid w:val="2EEA15D4"/>
    <w:rsid w:val="2F5729E1"/>
    <w:rsid w:val="30DC13F0"/>
    <w:rsid w:val="379C57E4"/>
    <w:rsid w:val="3A43428E"/>
    <w:rsid w:val="3A437DEA"/>
    <w:rsid w:val="3A451DB4"/>
    <w:rsid w:val="3B844B5E"/>
    <w:rsid w:val="3DC04C7E"/>
    <w:rsid w:val="42C817D4"/>
    <w:rsid w:val="46294447"/>
    <w:rsid w:val="47064679"/>
    <w:rsid w:val="485F161F"/>
    <w:rsid w:val="491F7E10"/>
    <w:rsid w:val="49C64593"/>
    <w:rsid w:val="50100316"/>
    <w:rsid w:val="511856D5"/>
    <w:rsid w:val="530E3233"/>
    <w:rsid w:val="53F57F4F"/>
    <w:rsid w:val="54C618EB"/>
    <w:rsid w:val="54E56216"/>
    <w:rsid w:val="57A852D8"/>
    <w:rsid w:val="57E9601D"/>
    <w:rsid w:val="5A296BA4"/>
    <w:rsid w:val="5CC2508E"/>
    <w:rsid w:val="61BC02FE"/>
    <w:rsid w:val="6223037D"/>
    <w:rsid w:val="66D47E98"/>
    <w:rsid w:val="67452B44"/>
    <w:rsid w:val="6C2033F3"/>
    <w:rsid w:val="6C2120C6"/>
    <w:rsid w:val="6DE85E75"/>
    <w:rsid w:val="726F214E"/>
    <w:rsid w:val="739B4217"/>
    <w:rsid w:val="76DE441B"/>
    <w:rsid w:val="76E76E50"/>
    <w:rsid w:val="795310F0"/>
    <w:rsid w:val="7B4E6013"/>
    <w:rsid w:val="7B851309"/>
    <w:rsid w:val="7CE617A9"/>
    <w:rsid w:val="7E394D59"/>
    <w:rsid w:val="7FEE4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5240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E52409"/>
    <w:pPr>
      <w:ind w:firstLine="420"/>
    </w:pPr>
    <w:rPr>
      <w:rFonts w:ascii="Times New Roman" w:eastAsia="宋体" w:hAnsi="Times New Roman" w:cs="Times New Roman"/>
    </w:rPr>
  </w:style>
  <w:style w:type="paragraph" w:styleId="a4">
    <w:name w:val="Body Text"/>
    <w:basedOn w:val="a"/>
    <w:uiPriority w:val="99"/>
    <w:semiHidden/>
    <w:unhideWhenUsed/>
    <w:qFormat/>
    <w:rsid w:val="00E52409"/>
    <w:pPr>
      <w:spacing w:after="120"/>
    </w:pPr>
    <w:rPr>
      <w:szCs w:val="24"/>
    </w:rPr>
  </w:style>
  <w:style w:type="paragraph" w:styleId="a5">
    <w:name w:val="Normal (Web)"/>
    <w:basedOn w:val="a"/>
    <w:uiPriority w:val="99"/>
    <w:semiHidden/>
    <w:unhideWhenUsed/>
    <w:qFormat/>
    <w:rsid w:val="00E5240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2"/>
    <w:qFormat/>
    <w:rsid w:val="00E524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EC4099"/>
    <w:rPr>
      <w:sz w:val="18"/>
      <w:szCs w:val="18"/>
    </w:rPr>
  </w:style>
  <w:style w:type="character" w:customStyle="1" w:styleId="Char">
    <w:name w:val="批注框文本 Char"/>
    <w:basedOn w:val="a1"/>
    <w:link w:val="a7"/>
    <w:rsid w:val="00EC40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5831;&#23558;&#25253;&#20215;&#20989;&#21152;&#30422;&#20844;&#31456;&#21518;&#22238;&#22797;&#33267;&#21457;&#20214;&#37038;&#31665;wukegang@shan-stee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xm145</dc:creator>
  <cp:lastModifiedBy>刘娟</cp:lastModifiedBy>
  <cp:revision>2</cp:revision>
  <cp:lastPrinted>2025-04-11T07:08:00Z</cp:lastPrinted>
  <dcterms:created xsi:type="dcterms:W3CDTF">2025-04-09T00:45:00Z</dcterms:created>
  <dcterms:modified xsi:type="dcterms:W3CDTF">2025-04-15T06:41:00Z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9FEFA758378A4F229DFC1CA56B6EBC53_13</vt:lpwstr>
  </property>
</Properties>
</file>